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/>
          <w:bCs/>
          <w:noProof/>
          <w:color w:val="000000"/>
          <w:lang w:eastAsia="sk-SK"/>
        </w:rPr>
        <w:drawing>
          <wp:anchor distT="0" distB="0" distL="114300" distR="114300" simplePos="0" relativeHeight="251659264" behindDoc="1" locked="0" layoutInCell="1" allowOverlap="1" wp14:anchorId="46E1EA66" wp14:editId="63EA28DD">
            <wp:simplePos x="0" y="0"/>
            <wp:positionH relativeFrom="column">
              <wp:posOffset>-160655</wp:posOffset>
            </wp:positionH>
            <wp:positionV relativeFrom="paragraph">
              <wp:posOffset>167640</wp:posOffset>
            </wp:positionV>
            <wp:extent cx="2842260" cy="858190"/>
            <wp:effectExtent l="0" t="0" r="0" b="0"/>
            <wp:wrapNone/>
            <wp:docPr id="3" name="Obrázok 3" descr="C:\Users\ja\AppData\Local\Microsoft\Windows\INetCache\Content.Word\Logo Polska - Slovensko (Slovensko) RGB Color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\AppData\Local\Microsoft\Windows\INetCache\Content.Word\Logo Polska - Slovensko (Slovensko) RGB Color-0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8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:rsidR="007C3C07" w:rsidRDefault="007C3C07" w:rsidP="00747104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:rsidR="005E7CFC" w:rsidRPr="00CA4599" w:rsidRDefault="005E7CFC" w:rsidP="00CA4599">
      <w:pPr>
        <w:pStyle w:val="Nadpis2"/>
        <w:spacing w:before="0"/>
        <w:rPr>
          <w:rFonts w:asciiTheme="minorHAnsi" w:hAnsiTheme="minorHAnsi" w:cstheme="minorHAnsi"/>
          <w:color w:val="auto"/>
          <w:sz w:val="22"/>
          <w:szCs w:val="22"/>
          <w:lang w:eastAsia="sk-SK"/>
        </w:rPr>
      </w:pPr>
      <w:r w:rsidRPr="00CA4599">
        <w:rPr>
          <w:rStyle w:val="Siln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Tlačová správa</w:t>
      </w:r>
    </w:p>
    <w:p w:rsidR="00CA4599" w:rsidRDefault="00CA4599" w:rsidP="00CA4599">
      <w:pPr>
        <w:pStyle w:val="Nadpis3"/>
        <w:spacing w:before="0" w:beforeAutospacing="0" w:after="0" w:afterAutospacing="0"/>
        <w:rPr>
          <w:rStyle w:val="Siln"/>
          <w:rFonts w:asciiTheme="minorHAnsi" w:hAnsiTheme="minorHAnsi" w:cstheme="minorHAnsi"/>
          <w:b/>
          <w:bCs/>
          <w:sz w:val="22"/>
          <w:szCs w:val="22"/>
        </w:rPr>
      </w:pPr>
    </w:p>
    <w:p w:rsidR="005E7CFC" w:rsidRPr="00CA4599" w:rsidRDefault="005E7CFC" w:rsidP="00A37BF0">
      <w:pPr>
        <w:pStyle w:val="Nadpis3"/>
        <w:spacing w:before="0" w:beforeAutospacing="0" w:after="0" w:afterAutospacing="0"/>
        <w:jc w:val="both"/>
        <w:rPr>
          <w:rStyle w:val="Siln"/>
          <w:rFonts w:asciiTheme="minorHAnsi" w:hAnsiTheme="minorHAnsi" w:cstheme="minorHAnsi"/>
          <w:b/>
          <w:bCs/>
          <w:sz w:val="22"/>
          <w:szCs w:val="22"/>
        </w:rPr>
      </w:pPr>
      <w:r w:rsidRPr="00CA4599">
        <w:rPr>
          <w:rStyle w:val="Siln"/>
          <w:rFonts w:asciiTheme="minorHAnsi" w:hAnsiTheme="minorHAnsi" w:cstheme="minorHAnsi"/>
          <w:b/>
          <w:bCs/>
          <w:sz w:val="22"/>
          <w:szCs w:val="22"/>
        </w:rPr>
        <w:t>Cesta kameňa oživí jedinečnú kamenársku tradíciu na slovensko-poľskom pohraničí</w:t>
      </w:r>
    </w:p>
    <w:p w:rsidR="00CA4599" w:rsidRPr="00CA4599" w:rsidRDefault="00CA4599" w:rsidP="00A37BF0">
      <w:pPr>
        <w:pStyle w:val="Nadpis3"/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5E7CFC" w:rsidRDefault="005E7CFC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Oravský Biely Potok / </w:t>
      </w:r>
      <w:proofErr w:type="spellStart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Spytkowice</w:t>
      </w:r>
      <w:proofErr w:type="spellEnd"/>
      <w:r w:rsidRPr="00CA4599">
        <w:rPr>
          <w:rFonts w:asciiTheme="minorHAnsi" w:hAnsiTheme="minorHAnsi" w:cstheme="minorHAnsi"/>
          <w:sz w:val="22"/>
          <w:szCs w:val="22"/>
        </w:rPr>
        <w:t xml:space="preserve"> – Kameň ako tichý svedok histórie, viery a ľudskej práce sa opäť dostáva do centra pozornosti. Obec Oravský Biely Potok v spolupráci s poľskou </w:t>
      </w:r>
      <w:proofErr w:type="spellStart"/>
      <w:r w:rsidRPr="00CA4599">
        <w:rPr>
          <w:rFonts w:asciiTheme="minorHAnsi" w:hAnsiTheme="minorHAnsi" w:cstheme="minorHAnsi"/>
          <w:sz w:val="22"/>
          <w:szCs w:val="22"/>
        </w:rPr>
        <w:t>gminou</w:t>
      </w:r>
      <w:proofErr w:type="spellEnd"/>
      <w:r w:rsidRPr="00CA459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4599">
        <w:rPr>
          <w:rFonts w:asciiTheme="minorHAnsi" w:hAnsiTheme="minorHAnsi" w:cstheme="minorHAnsi"/>
          <w:sz w:val="22"/>
          <w:szCs w:val="22"/>
        </w:rPr>
        <w:t>Spytkowice</w:t>
      </w:r>
      <w:proofErr w:type="spellEnd"/>
      <w:r w:rsidRPr="00CA4599">
        <w:rPr>
          <w:rFonts w:asciiTheme="minorHAnsi" w:hAnsiTheme="minorHAnsi" w:cstheme="minorHAnsi"/>
          <w:sz w:val="22"/>
          <w:szCs w:val="22"/>
        </w:rPr>
        <w:t xml:space="preserve"> realizujú cezhraničný projekt </w:t>
      </w:r>
      <w:r w:rsidR="00CA4599">
        <w:rPr>
          <w:rStyle w:val="Siln"/>
          <w:rFonts w:asciiTheme="minorHAnsi" w:hAnsiTheme="minorHAnsi" w:cstheme="minorHAnsi"/>
          <w:b w:val="0"/>
          <w:sz w:val="22"/>
          <w:szCs w:val="22"/>
        </w:rPr>
        <w:t>Cesta kameňa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(INT/TAT/II/0001)</w:t>
      </w:r>
      <w:r w:rsidRPr="00CA4599">
        <w:rPr>
          <w:rFonts w:asciiTheme="minorHAnsi" w:hAnsiTheme="minorHAnsi" w:cstheme="minorHAnsi"/>
          <w:sz w:val="22"/>
          <w:szCs w:val="22"/>
        </w:rPr>
        <w:t xml:space="preserve">, ktorého cieľom je </w:t>
      </w:r>
      <w:r w:rsidR="00CA4599">
        <w:rPr>
          <w:rFonts w:asciiTheme="minorHAnsi" w:hAnsiTheme="minorHAnsi" w:cstheme="minorHAnsi"/>
          <w:sz w:val="22"/>
          <w:szCs w:val="22"/>
        </w:rPr>
        <w:t>revitalizovať</w:t>
      </w:r>
      <w:r w:rsidRPr="00CA4599">
        <w:rPr>
          <w:rFonts w:asciiTheme="minorHAnsi" w:hAnsiTheme="minorHAnsi" w:cstheme="minorHAnsi"/>
          <w:sz w:val="22"/>
          <w:szCs w:val="22"/>
        </w:rPr>
        <w:t xml:space="preserve"> a moderným spôsobom predstaviť jedinečnú kamenársku tradíciu a drobnú sakrálnu architektúru na slovensko-poľskom pohraničí. Projekt je spolufinancovaný Európskou úniou v rámci programu </w:t>
      </w:r>
      <w:proofErr w:type="spellStart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Interreg</w:t>
      </w:r>
      <w:proofErr w:type="spellEnd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Poľsko – Slovensko 2021 – 2027</w:t>
      </w:r>
      <w:r w:rsidRPr="00CA4599">
        <w:rPr>
          <w:rFonts w:asciiTheme="minorHAnsi" w:hAnsiTheme="minorHAnsi" w:cstheme="minorHAnsi"/>
          <w:sz w:val="22"/>
          <w:szCs w:val="22"/>
        </w:rPr>
        <w:t>.</w:t>
      </w:r>
      <w:r w:rsidR="00CA4599">
        <w:rPr>
          <w:rFonts w:asciiTheme="minorHAnsi" w:hAnsiTheme="minorHAnsi" w:cstheme="minorHAnsi"/>
          <w:sz w:val="22"/>
          <w:szCs w:val="22"/>
        </w:rPr>
        <w:t xml:space="preserve"> </w:t>
      </w:r>
      <w:r w:rsidRPr="00CA4599">
        <w:rPr>
          <w:rFonts w:asciiTheme="minorHAnsi" w:hAnsiTheme="minorHAnsi" w:cstheme="minorHAnsi"/>
          <w:sz w:val="22"/>
          <w:szCs w:val="22"/>
        </w:rPr>
        <w:t xml:space="preserve">Partnerské obce spolupracujú už od roku 2007 a spája ich spoločné kultúrne dedičstvo, ktoré presahuje hranice štátov. Jedným z jeho najvýraznejších prejavov je práve kamenárstvo – remeslo, ktoré formovalo krajinu, verejný priestor aj duchovnú identitu regiónu. Kým Oravský Biely Potok je známy bohatou tradíciou kamenárskej tvorby siahajúcou do obdobia neskorého baroka, </w:t>
      </w:r>
      <w:proofErr w:type="spellStart"/>
      <w:r w:rsidRPr="00CA4599">
        <w:rPr>
          <w:rFonts w:asciiTheme="minorHAnsi" w:hAnsiTheme="minorHAnsi" w:cstheme="minorHAnsi"/>
          <w:sz w:val="22"/>
          <w:szCs w:val="22"/>
        </w:rPr>
        <w:t>Spytkowice</w:t>
      </w:r>
      <w:proofErr w:type="spellEnd"/>
      <w:r w:rsidRPr="00CA4599">
        <w:rPr>
          <w:rFonts w:asciiTheme="minorHAnsi" w:hAnsiTheme="minorHAnsi" w:cstheme="minorHAnsi"/>
          <w:sz w:val="22"/>
          <w:szCs w:val="22"/>
        </w:rPr>
        <w:t xml:space="preserve"> vynikajú množstvom kamenných krížov, kaplniek a plastík roztrúsených v krajine.</w:t>
      </w:r>
    </w:p>
    <w:p w:rsidR="00CA4599" w:rsidRPr="00CA4599" w:rsidRDefault="00CA4599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5E7CFC" w:rsidRPr="00CA4599" w:rsidRDefault="005E7CFC" w:rsidP="00A37BF0">
      <w:pPr>
        <w:pStyle w:val="Nadpis3"/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A4599">
        <w:rPr>
          <w:rStyle w:val="Siln"/>
          <w:rFonts w:asciiTheme="minorHAnsi" w:hAnsiTheme="minorHAnsi" w:cstheme="minorHAnsi"/>
          <w:b/>
          <w:bCs/>
          <w:sz w:val="22"/>
          <w:szCs w:val="22"/>
        </w:rPr>
        <w:t>Kameň, ktorý rozpráva príbeh</w:t>
      </w:r>
    </w:p>
    <w:p w:rsidR="00CA4599" w:rsidRPr="00CA4599" w:rsidRDefault="005E7CFC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A4599">
        <w:rPr>
          <w:rFonts w:asciiTheme="minorHAnsi" w:hAnsiTheme="minorHAnsi" w:cstheme="minorHAnsi"/>
          <w:sz w:val="22"/>
          <w:szCs w:val="22"/>
        </w:rPr>
        <w:t>Oravský Biely Potok patrí medzi výnimočné miesta Slovenska. Práve kamenárska tradícia je jeho najvýraznejším kultúrnym symbolom a zdrojom identity. Od roku 2006 sa tu konajú medzinárodné kamenárske sympóziá, ktorých výsledkom je viac než stovka kamenných plastík osadených priamo v obci a jej okolí. Tento jedinečný „galerijný priestor pod holým nebom“ nemá na Slovensku obdobu a obec vďaka nemu presiahla regionálny význam.</w:t>
      </w:r>
      <w:r w:rsidR="00CA4599" w:rsidRPr="00CA4599">
        <w:rPr>
          <w:rFonts w:asciiTheme="minorHAnsi" w:hAnsiTheme="minorHAnsi" w:cstheme="minorHAnsi"/>
          <w:sz w:val="22"/>
          <w:szCs w:val="22"/>
        </w:rPr>
        <w:t xml:space="preserve"> </w:t>
      </w:r>
      <w:r w:rsidRPr="00CA4599">
        <w:rPr>
          <w:rFonts w:asciiTheme="minorHAnsi" w:hAnsiTheme="minorHAnsi" w:cstheme="minorHAnsi"/>
          <w:sz w:val="22"/>
          <w:szCs w:val="22"/>
        </w:rPr>
        <w:t>Napriek tomu je tento potenciál stále nedostatočne využitý – nielen v oblasti cestovného ruchu, ale aj v každodennom živote miestnych obyvateľov. Zároveň sa kamenárske remeslo postupne vytráca a mnohé historické objekty drobnej sakrálnej architektúry sú v nevyhovujúcom technickom stave.</w:t>
      </w:r>
      <w:r w:rsidR="00CA4599">
        <w:rPr>
          <w:rFonts w:asciiTheme="minorHAnsi" w:hAnsiTheme="minorHAnsi" w:cstheme="minorHAnsi"/>
          <w:sz w:val="22"/>
          <w:szCs w:val="22"/>
        </w:rPr>
        <w:t xml:space="preserve"> </w:t>
      </w:r>
      <w:r w:rsidR="00CA4599" w:rsidRPr="00CA4599">
        <w:rPr>
          <w:rFonts w:asciiTheme="minorHAnsi" w:hAnsiTheme="minorHAnsi" w:cstheme="minorHAnsi"/>
          <w:sz w:val="22"/>
          <w:szCs w:val="22"/>
        </w:rPr>
        <w:t>„</w:t>
      </w:r>
      <w:r w:rsidR="00CA4599" w:rsidRPr="00CA4599">
        <w:rPr>
          <w:rFonts w:asciiTheme="minorHAnsi" w:hAnsiTheme="minorHAnsi" w:cstheme="minorHAnsi"/>
          <w:i/>
          <w:sz w:val="22"/>
          <w:szCs w:val="22"/>
        </w:rPr>
        <w:t>Aj z tohto dôvodu je projekt pre našu obec veľmi významný — kamenné kríže, kamenné plastiky a sakrálne prvky tvoria nenahraditeľné dedičstvo našich predkov</w:t>
      </w:r>
      <w:r w:rsidR="00CA4599" w:rsidRPr="00CA4599">
        <w:rPr>
          <w:rFonts w:asciiTheme="minorHAnsi" w:hAnsiTheme="minorHAnsi" w:cstheme="minorHAnsi"/>
          <w:sz w:val="22"/>
          <w:szCs w:val="22"/>
        </w:rPr>
        <w:t xml:space="preserve">,“ hovorí starosta Obce Oravský Biely Potok, </w:t>
      </w:r>
      <w:r w:rsidR="00CA4599"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Ing. Jozef </w:t>
      </w:r>
      <w:proofErr w:type="spellStart"/>
      <w:r w:rsidR="00CA4599"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Hamaň</w:t>
      </w:r>
      <w:proofErr w:type="spellEnd"/>
      <w:r w:rsidR="00CA4599" w:rsidRPr="00CA4599">
        <w:rPr>
          <w:rFonts w:asciiTheme="minorHAnsi" w:hAnsiTheme="minorHAnsi" w:cstheme="minorHAnsi"/>
          <w:sz w:val="22"/>
          <w:szCs w:val="22"/>
        </w:rPr>
        <w:t>. „</w:t>
      </w:r>
      <w:r w:rsidR="00CA4599" w:rsidRPr="00CA4599">
        <w:rPr>
          <w:rFonts w:asciiTheme="minorHAnsi" w:hAnsiTheme="minorHAnsi" w:cstheme="minorHAnsi"/>
          <w:i/>
          <w:sz w:val="22"/>
          <w:szCs w:val="22"/>
        </w:rPr>
        <w:t>Cesta kameňa nám dáva jedinečnú príležitosť nielen obnoviť tieto diela, ale aj predstaviť kamenársku tradíciu širšej verejnosti. Chceme, aby sa miestna história stala živou súčasťou kultúrneho života obyvateľov aj návštevníkov, a aby sa tento potenciál stal trvalým prvkom rozvoja regiónu.</w:t>
      </w:r>
      <w:r w:rsidR="00CA4599" w:rsidRPr="00CA4599">
        <w:rPr>
          <w:rFonts w:asciiTheme="minorHAnsi" w:hAnsiTheme="minorHAnsi" w:cstheme="minorHAnsi"/>
          <w:sz w:val="22"/>
          <w:szCs w:val="22"/>
        </w:rPr>
        <w:t>“</w:t>
      </w:r>
    </w:p>
    <w:p w:rsidR="00CA4599" w:rsidRPr="00CA4599" w:rsidRDefault="00CA4599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5E7CFC" w:rsidRPr="00CA4599" w:rsidRDefault="005E7CFC" w:rsidP="00A37BF0">
      <w:pPr>
        <w:pStyle w:val="Nadpis3"/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A4599">
        <w:rPr>
          <w:rStyle w:val="Siln"/>
          <w:rFonts w:asciiTheme="minorHAnsi" w:hAnsiTheme="minorHAnsi" w:cstheme="minorHAnsi"/>
          <w:b/>
          <w:bCs/>
          <w:sz w:val="22"/>
          <w:szCs w:val="22"/>
        </w:rPr>
        <w:t>Revitalizácia barokových krížov a bezbariérový prístup</w:t>
      </w:r>
    </w:p>
    <w:p w:rsidR="005E7CFC" w:rsidRDefault="005E7CFC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A4599">
        <w:rPr>
          <w:rFonts w:asciiTheme="minorHAnsi" w:hAnsiTheme="minorHAnsi" w:cstheme="minorHAnsi"/>
          <w:sz w:val="22"/>
          <w:szCs w:val="22"/>
        </w:rPr>
        <w:t xml:space="preserve">Kľúčovou investičnou aktivitou projektu je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revitalizácia vstupu na obecný cintorín v Oravskom Bielom Potoku a odborná reštaurácia štyroch kamenných pieskovcových krížov z 18. a 19. storočia</w:t>
      </w:r>
      <w:r w:rsidRPr="00CA4599">
        <w:rPr>
          <w:rFonts w:asciiTheme="minorHAnsi" w:hAnsiTheme="minorHAnsi" w:cstheme="minorHAnsi"/>
          <w:sz w:val="22"/>
          <w:szCs w:val="22"/>
        </w:rPr>
        <w:t>. Ide o Hlavný kríž, Kríž so sv. Katarínou, Kríž s vyučovaním Panny Márie a Kríž so sv. Jozefom – výnimočný súbor drobnej sakrálnej architektúry, ktorý tvorí dominantu cintorína a patrí medzi najcennejšie pamiatky obce.</w:t>
      </w:r>
      <w:r w:rsidR="00CA4599">
        <w:rPr>
          <w:rFonts w:asciiTheme="minorHAnsi" w:hAnsiTheme="minorHAnsi" w:cstheme="minorHAnsi"/>
          <w:sz w:val="22"/>
          <w:szCs w:val="22"/>
        </w:rPr>
        <w:t xml:space="preserve"> </w:t>
      </w:r>
      <w:r w:rsidRPr="00CA4599">
        <w:rPr>
          <w:rFonts w:asciiTheme="minorHAnsi" w:hAnsiTheme="minorHAnsi" w:cstheme="minorHAnsi"/>
          <w:sz w:val="22"/>
          <w:szCs w:val="22"/>
        </w:rPr>
        <w:t xml:space="preserve">Súčasťou obnovy bude aj rekonštrukcia vstupného portálu, úprava a </w:t>
      </w:r>
      <w:proofErr w:type="spellStart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debarierizácia</w:t>
      </w:r>
      <w:proofErr w:type="spellEnd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prístupovej cesty</w:t>
      </w:r>
      <w:r w:rsidRPr="00CA4599">
        <w:rPr>
          <w:rFonts w:asciiTheme="minorHAnsi" w:hAnsiTheme="minorHAnsi" w:cstheme="minorHAnsi"/>
          <w:sz w:val="22"/>
          <w:szCs w:val="22"/>
        </w:rPr>
        <w:t xml:space="preserve">, aby bol areál dostupný aj pre imobilných návštevníkov. Pri vstupe budú osadené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dvojjazyčné informačné tabule</w:t>
      </w:r>
      <w:r w:rsidRPr="00CA4599">
        <w:rPr>
          <w:rFonts w:asciiTheme="minorHAnsi" w:hAnsiTheme="minorHAnsi" w:cstheme="minorHAnsi"/>
          <w:sz w:val="22"/>
          <w:szCs w:val="22"/>
        </w:rPr>
        <w:t>, ktoré návštevníkom priblížia históriu kamenárstva, samotné kríže, ale aj spoločné kultúrne dedičstvo poľského partnera. Priestor, ktorý bol v minulosti využitý aj ako kulisa pre významné slovenské filmové diela, sa tak stane atraktívnym a dôstojným miestom pre obyvateľov i návštevníkov regiónu.</w:t>
      </w:r>
    </w:p>
    <w:p w:rsidR="00CA4599" w:rsidRPr="00CA4599" w:rsidRDefault="00CA4599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5E7CFC" w:rsidRPr="00CA4599" w:rsidRDefault="005E7CFC" w:rsidP="00A37BF0">
      <w:pPr>
        <w:pStyle w:val="Nadpis3"/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A4599">
        <w:rPr>
          <w:rStyle w:val="Siln"/>
          <w:rFonts w:asciiTheme="minorHAnsi" w:hAnsiTheme="minorHAnsi" w:cstheme="minorHAnsi"/>
          <w:b/>
          <w:bCs/>
          <w:sz w:val="22"/>
          <w:szCs w:val="22"/>
        </w:rPr>
        <w:t>Dni kamenárov: tradícia, ktorá žije</w:t>
      </w:r>
    </w:p>
    <w:p w:rsidR="005E7CFC" w:rsidRDefault="005E7CFC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A4599">
        <w:rPr>
          <w:rFonts w:asciiTheme="minorHAnsi" w:hAnsiTheme="minorHAnsi" w:cstheme="minorHAnsi"/>
          <w:sz w:val="22"/>
          <w:szCs w:val="22"/>
        </w:rPr>
        <w:t xml:space="preserve">Projekt však nie je len o rekonštrukcii, ale najmä o ľuďoch a živej tradícii. Jeho súčasťou budú dve veľké prezentačné podujatia –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Dni kamenárov v Oravskom Bielom Potoku (7. – 8. augusta 2026)</w:t>
      </w:r>
      <w:r w:rsidRPr="00CA4599">
        <w:rPr>
          <w:rFonts w:asciiTheme="minorHAnsi" w:hAnsiTheme="minorHAnsi" w:cstheme="minorHAnsi"/>
          <w:sz w:val="22"/>
          <w:szCs w:val="22"/>
        </w:rPr>
        <w:t xml:space="preserve"> a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Dni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lastRenderedPageBreak/>
        <w:t xml:space="preserve">kamenárov v </w:t>
      </w:r>
      <w:proofErr w:type="spellStart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Spytkowiciach</w:t>
      </w:r>
      <w:proofErr w:type="spellEnd"/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 xml:space="preserve"> (15. – 16. augusta 2026)</w:t>
      </w:r>
      <w:r w:rsidRPr="00CA4599">
        <w:rPr>
          <w:rFonts w:asciiTheme="minorHAnsi" w:hAnsiTheme="minorHAnsi" w:cstheme="minorHAnsi"/>
          <w:sz w:val="22"/>
          <w:szCs w:val="22"/>
        </w:rPr>
        <w:t>.</w:t>
      </w:r>
      <w:r w:rsidR="00CA4599">
        <w:rPr>
          <w:rFonts w:asciiTheme="minorHAnsi" w:hAnsiTheme="minorHAnsi" w:cstheme="minorHAnsi"/>
          <w:sz w:val="22"/>
          <w:szCs w:val="22"/>
        </w:rPr>
        <w:t xml:space="preserve"> </w:t>
      </w:r>
      <w:r w:rsidRPr="00CA4599">
        <w:rPr>
          <w:rFonts w:asciiTheme="minorHAnsi" w:hAnsiTheme="minorHAnsi" w:cstheme="minorHAnsi"/>
          <w:sz w:val="22"/>
          <w:szCs w:val="22"/>
        </w:rPr>
        <w:t xml:space="preserve">Návštevníkov čaká bohatý program: ľudový jarmok s ukážkami tradičných remesiel, workshopy kamenárskej tvorby, folklórne vystúpenia súborov zo Slovenska i Poľska, odborné semináre a tvorivé diskusie kamenárov, slávnostné sprístupnenie </w:t>
      </w:r>
      <w:proofErr w:type="spellStart"/>
      <w:r w:rsidRPr="00CA4599">
        <w:rPr>
          <w:rFonts w:asciiTheme="minorHAnsi" w:hAnsiTheme="minorHAnsi" w:cstheme="minorHAnsi"/>
          <w:sz w:val="22"/>
          <w:szCs w:val="22"/>
        </w:rPr>
        <w:t>zrevitalizovaného</w:t>
      </w:r>
      <w:proofErr w:type="spellEnd"/>
      <w:r w:rsidRPr="00CA4599">
        <w:rPr>
          <w:rFonts w:asciiTheme="minorHAnsi" w:hAnsiTheme="minorHAnsi" w:cstheme="minorHAnsi"/>
          <w:sz w:val="22"/>
          <w:szCs w:val="22"/>
        </w:rPr>
        <w:t xml:space="preserve"> cintorína, ako aj poznávacie výlety po stopách kamenných plastík, krížov a prírodných zaujímavostí regiónu. Podujatia majú ambíciu osloviť širokú verejnosť, rodiny s deťmi, odborníkov aj turistov a ukázať, že kamenárska tradícia má svoje miesto aj v súčasnosti.</w:t>
      </w:r>
    </w:p>
    <w:p w:rsidR="00CA4599" w:rsidRPr="00CA4599" w:rsidRDefault="00CA4599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5E7CFC" w:rsidRPr="00CA4599" w:rsidRDefault="005E7CFC" w:rsidP="00A37BF0">
      <w:pPr>
        <w:pStyle w:val="Nadpis3"/>
        <w:spacing w:before="0" w:beforeAutospacing="0" w:after="0" w:afterAutospacing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A4599">
        <w:rPr>
          <w:rStyle w:val="Siln"/>
          <w:rFonts w:asciiTheme="minorHAnsi" w:hAnsiTheme="minorHAnsi" w:cstheme="minorHAnsi"/>
          <w:b/>
          <w:bCs/>
          <w:sz w:val="22"/>
          <w:szCs w:val="22"/>
        </w:rPr>
        <w:t>Spoločné dedičstvo ako základ budúcnosti</w:t>
      </w:r>
    </w:p>
    <w:p w:rsidR="00CA4599" w:rsidRPr="00CA4599" w:rsidRDefault="005E7CFC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A4599">
        <w:rPr>
          <w:rFonts w:asciiTheme="minorHAnsi" w:hAnsiTheme="minorHAnsi" w:cstheme="minorHAnsi"/>
          <w:sz w:val="22"/>
          <w:szCs w:val="22"/>
        </w:rPr>
        <w:t xml:space="preserve">Projekt </w:t>
      </w:r>
      <w:r w:rsidR="00CA4599">
        <w:rPr>
          <w:rStyle w:val="Siln"/>
          <w:rFonts w:asciiTheme="minorHAnsi" w:hAnsiTheme="minorHAnsi" w:cstheme="minorHAnsi"/>
          <w:b w:val="0"/>
          <w:sz w:val="22"/>
          <w:szCs w:val="22"/>
        </w:rPr>
        <w:t>Cesta kameňa</w:t>
      </w:r>
      <w:r w:rsidRPr="00CA4599">
        <w:rPr>
          <w:rFonts w:asciiTheme="minorHAnsi" w:hAnsiTheme="minorHAnsi" w:cstheme="minorHAnsi"/>
          <w:sz w:val="22"/>
          <w:szCs w:val="22"/>
        </w:rPr>
        <w:t xml:space="preserve"> prispeje k ochrane a popularizácii jedinečného kultúrneho dedičstva slovensko-poľského pohraničia, zvýši turistickú atraktivitu územia a podporí rozvoj udržateľného kultúrneho turizmu. Zároveň vytvorí priestor na medzigeneračné odovzdávanie remeselných zručností, posilní spoluprácu medzi komunitami na oboch stranách hranice a pomôže zachrániť kamenárstvo ako zanikajúce, no mimoriadne hodnotné remeslo.</w:t>
      </w:r>
      <w:r w:rsidR="00CA4599">
        <w:rPr>
          <w:rFonts w:asciiTheme="minorHAnsi" w:hAnsiTheme="minorHAnsi" w:cstheme="minorHAnsi"/>
          <w:sz w:val="22"/>
          <w:szCs w:val="22"/>
        </w:rPr>
        <w:t xml:space="preserve"> </w:t>
      </w:r>
      <w:r w:rsidR="00CA4599" w:rsidRPr="00CA4599">
        <w:rPr>
          <w:rFonts w:asciiTheme="minorHAnsi" w:hAnsiTheme="minorHAnsi" w:cstheme="minorHAnsi"/>
          <w:sz w:val="22"/>
          <w:szCs w:val="22"/>
        </w:rPr>
        <w:t>„</w:t>
      </w:r>
      <w:r w:rsidR="00CA4599" w:rsidRPr="00CA4599">
        <w:rPr>
          <w:rFonts w:asciiTheme="minorHAnsi" w:hAnsiTheme="minorHAnsi" w:cstheme="minorHAnsi"/>
          <w:i/>
          <w:sz w:val="22"/>
          <w:szCs w:val="22"/>
        </w:rPr>
        <w:t>Kameň tu nie je len materiál — je to nositeľ príbehov našich predkov,</w:t>
      </w:r>
      <w:r w:rsidR="00CA4599" w:rsidRPr="00CA4599">
        <w:rPr>
          <w:rFonts w:asciiTheme="minorHAnsi" w:hAnsiTheme="minorHAnsi" w:cstheme="minorHAnsi"/>
          <w:sz w:val="22"/>
          <w:szCs w:val="22"/>
        </w:rPr>
        <w:t xml:space="preserve">“ dopĺňa starosta </w:t>
      </w:r>
      <w:proofErr w:type="spellStart"/>
      <w:r w:rsidR="00CA4599" w:rsidRPr="00CA4599">
        <w:rPr>
          <w:rFonts w:asciiTheme="minorHAnsi" w:hAnsiTheme="minorHAnsi" w:cstheme="minorHAnsi"/>
          <w:sz w:val="22"/>
          <w:szCs w:val="22"/>
        </w:rPr>
        <w:t>Hamaň</w:t>
      </w:r>
      <w:proofErr w:type="spellEnd"/>
      <w:r w:rsidR="00CA4599" w:rsidRPr="00CA4599">
        <w:rPr>
          <w:rFonts w:asciiTheme="minorHAnsi" w:hAnsiTheme="minorHAnsi" w:cstheme="minorHAnsi"/>
          <w:sz w:val="22"/>
          <w:szCs w:val="22"/>
        </w:rPr>
        <w:t>. „</w:t>
      </w:r>
      <w:r w:rsidR="00CA4599" w:rsidRPr="00CA4599">
        <w:rPr>
          <w:rFonts w:asciiTheme="minorHAnsi" w:hAnsiTheme="minorHAnsi" w:cstheme="minorHAnsi"/>
          <w:i/>
          <w:sz w:val="22"/>
          <w:szCs w:val="22"/>
        </w:rPr>
        <w:t>Vďaka projektu sa tieto príbehy opäť otvoria verejnosti. Verím, že táto iniciatíva bude motivovať aj mladších ľudí, aby sa zaujímali o svoju kultúru a aby tradičné remeslo nezaniklo.“</w:t>
      </w:r>
    </w:p>
    <w:p w:rsidR="005E7CFC" w:rsidRPr="00CA4599" w:rsidRDefault="005E7CFC" w:rsidP="00A37BF0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A4599">
        <w:rPr>
          <w:rFonts w:asciiTheme="minorHAnsi" w:hAnsiTheme="minorHAnsi" w:cstheme="minorHAnsi"/>
          <w:sz w:val="22"/>
          <w:szCs w:val="22"/>
        </w:rPr>
        <w:t xml:space="preserve">Celkový rozpočet projektu je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93 793,08 EUR</w:t>
      </w:r>
      <w:r w:rsidRPr="00CA4599">
        <w:rPr>
          <w:rFonts w:asciiTheme="minorHAnsi" w:hAnsiTheme="minorHAnsi" w:cstheme="minorHAnsi"/>
          <w:sz w:val="22"/>
          <w:szCs w:val="22"/>
        </w:rPr>
        <w:t xml:space="preserve">, z čoho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75 034,46 EUR</w:t>
      </w:r>
      <w:r w:rsidRPr="00CA4599">
        <w:rPr>
          <w:rFonts w:asciiTheme="minorHAnsi" w:hAnsiTheme="minorHAnsi" w:cstheme="minorHAnsi"/>
          <w:sz w:val="22"/>
          <w:szCs w:val="22"/>
        </w:rPr>
        <w:t xml:space="preserve"> je financovaných z Európskeho fondu regionálneho rozvoja a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18 758,62 EUR</w:t>
      </w:r>
      <w:r w:rsidRPr="00CA4599">
        <w:rPr>
          <w:rFonts w:asciiTheme="minorHAnsi" w:hAnsiTheme="minorHAnsi" w:cstheme="minorHAnsi"/>
          <w:sz w:val="22"/>
          <w:szCs w:val="22"/>
        </w:rPr>
        <w:t xml:space="preserve"> tvorí vlastný príspevok partnerov. </w:t>
      </w:r>
      <w:r w:rsidRPr="00CA4599">
        <w:rPr>
          <w:rStyle w:val="Siln"/>
          <w:rFonts w:asciiTheme="minorHAnsi" w:hAnsiTheme="minorHAnsi" w:cstheme="minorHAnsi"/>
          <w:b w:val="0"/>
          <w:sz w:val="22"/>
          <w:szCs w:val="22"/>
        </w:rPr>
        <w:t>Cesta kameňa</w:t>
      </w:r>
      <w:r w:rsidRPr="00CA4599">
        <w:rPr>
          <w:rFonts w:asciiTheme="minorHAnsi" w:hAnsiTheme="minorHAnsi" w:cstheme="minorHAnsi"/>
          <w:sz w:val="22"/>
          <w:szCs w:val="22"/>
        </w:rPr>
        <w:t xml:space="preserve"> tak nie je len návratom k minulosti, ale najmä investíciou do identity, kultúry a spoločnej budúcnosti regiónu.</w:t>
      </w:r>
    </w:p>
    <w:p w:rsidR="003A0923" w:rsidRPr="00CA4599" w:rsidRDefault="003A0923" w:rsidP="00CA4599">
      <w:pPr>
        <w:jc w:val="both"/>
        <w:rPr>
          <w:rFonts w:asciiTheme="minorHAnsi" w:hAnsiTheme="minorHAnsi" w:cstheme="minorHAnsi"/>
          <w:sz w:val="22"/>
          <w:szCs w:val="22"/>
          <w:lang w:eastAsia="sk-SK"/>
        </w:rPr>
      </w:pPr>
    </w:p>
    <w:p w:rsidR="003A0923" w:rsidRPr="00CA4599" w:rsidRDefault="003A0923" w:rsidP="00CA4599">
      <w:pPr>
        <w:jc w:val="right"/>
        <w:rPr>
          <w:rFonts w:asciiTheme="minorHAnsi" w:hAnsiTheme="minorHAnsi" w:cstheme="minorHAnsi"/>
          <w:sz w:val="22"/>
          <w:szCs w:val="22"/>
          <w:lang w:eastAsia="sk-SK"/>
        </w:rPr>
      </w:pPr>
      <w:r w:rsidRPr="00CA4599">
        <w:rPr>
          <w:rFonts w:asciiTheme="minorHAnsi" w:hAnsiTheme="minorHAnsi" w:cstheme="minorHAnsi"/>
          <w:sz w:val="22"/>
          <w:szCs w:val="22"/>
          <w:lang w:eastAsia="sk-SK"/>
        </w:rPr>
        <w:t>Miroslav Žabenský</w:t>
      </w:r>
    </w:p>
    <w:p w:rsidR="003A0923" w:rsidRPr="00FE3420" w:rsidRDefault="003A0923" w:rsidP="003A0923">
      <w:pPr>
        <w:jc w:val="right"/>
        <w:rPr>
          <w:rFonts w:asciiTheme="minorHAnsi" w:hAnsiTheme="minorHAnsi" w:cstheme="minorHAnsi"/>
          <w:sz w:val="22"/>
          <w:szCs w:val="22"/>
          <w:lang w:eastAsia="sk-SK"/>
        </w:rPr>
      </w:pPr>
    </w:p>
    <w:p w:rsidR="00AC111A" w:rsidRPr="007C3C07" w:rsidRDefault="00AC111A" w:rsidP="00747104">
      <w:pPr>
        <w:rPr>
          <w:rFonts w:asciiTheme="minorHAnsi" w:hAnsiTheme="minorHAnsi" w:cstheme="minorHAnsi"/>
          <w:sz w:val="22"/>
          <w:szCs w:val="22"/>
        </w:rPr>
      </w:pPr>
    </w:p>
    <w:p w:rsidR="007C3C07" w:rsidRPr="007C3C07" w:rsidRDefault="007C3C07" w:rsidP="007C3C07">
      <w:pPr>
        <w:spacing w:line="228" w:lineRule="auto"/>
        <w:jc w:val="center"/>
        <w:rPr>
          <w:rStyle w:val="rynqvb"/>
          <w:rFonts w:asciiTheme="minorHAnsi" w:hAnsiTheme="minorHAnsi" w:cstheme="minorHAnsi"/>
          <w:sz w:val="20"/>
          <w:szCs w:val="20"/>
        </w:rPr>
      </w:pPr>
      <w:r w:rsidRPr="007C3C07">
        <w:rPr>
          <w:rStyle w:val="rynqvb"/>
          <w:rFonts w:asciiTheme="minorHAnsi" w:hAnsiTheme="minorHAnsi" w:cstheme="minorHAnsi"/>
          <w:sz w:val="20"/>
          <w:szCs w:val="20"/>
        </w:rPr>
        <w:t xml:space="preserve">Projekt je spolufinancovaný Európskou úniou v rámci programu </w:t>
      </w:r>
    </w:p>
    <w:p w:rsidR="007C3C07" w:rsidRPr="007C3C07" w:rsidRDefault="007C3C07" w:rsidP="007C3C07">
      <w:pPr>
        <w:spacing w:line="228" w:lineRule="auto"/>
        <w:jc w:val="center"/>
        <w:rPr>
          <w:rStyle w:val="rynqvb"/>
          <w:rFonts w:asciiTheme="minorHAnsi" w:hAnsiTheme="minorHAnsi" w:cstheme="minorHAnsi"/>
          <w:sz w:val="20"/>
          <w:szCs w:val="20"/>
        </w:rPr>
      </w:pPr>
      <w:proofErr w:type="spellStart"/>
      <w:r w:rsidRPr="007C3C07">
        <w:rPr>
          <w:rStyle w:val="rynqvb"/>
          <w:rFonts w:asciiTheme="minorHAnsi" w:hAnsiTheme="minorHAnsi" w:cstheme="minorHAnsi"/>
          <w:sz w:val="20"/>
          <w:szCs w:val="20"/>
        </w:rPr>
        <w:t>Interreg</w:t>
      </w:r>
      <w:proofErr w:type="spellEnd"/>
      <w:r w:rsidRPr="007C3C07">
        <w:rPr>
          <w:rStyle w:val="rynqvb"/>
          <w:rFonts w:asciiTheme="minorHAnsi" w:hAnsiTheme="minorHAnsi" w:cstheme="minorHAnsi"/>
          <w:sz w:val="20"/>
          <w:szCs w:val="20"/>
        </w:rPr>
        <w:t xml:space="preserve"> Poľsko – Slovensko 2021 - 2027.</w:t>
      </w:r>
    </w:p>
    <w:p w:rsidR="007C3C07" w:rsidRPr="007C3C07" w:rsidRDefault="007C3C07" w:rsidP="007C3C07">
      <w:pPr>
        <w:spacing w:line="228" w:lineRule="auto"/>
        <w:jc w:val="center"/>
        <w:rPr>
          <w:rFonts w:asciiTheme="minorHAnsi" w:eastAsia="Candara" w:hAnsiTheme="minorHAnsi" w:cstheme="minorHAnsi"/>
          <w:bCs/>
          <w:sz w:val="20"/>
          <w:szCs w:val="20"/>
        </w:rPr>
      </w:pPr>
    </w:p>
    <w:p w:rsidR="007C3C07" w:rsidRPr="007C3C07" w:rsidRDefault="007C3C07" w:rsidP="007C3C07">
      <w:pPr>
        <w:spacing w:line="228" w:lineRule="auto"/>
        <w:jc w:val="center"/>
        <w:rPr>
          <w:rStyle w:val="Hypertextovprepojenie"/>
          <w:rFonts w:asciiTheme="minorHAnsi" w:eastAsia="Candara" w:hAnsiTheme="minorHAnsi" w:cstheme="minorHAnsi"/>
          <w:bCs/>
          <w:color w:val="auto"/>
          <w:sz w:val="20"/>
          <w:szCs w:val="20"/>
        </w:rPr>
      </w:pPr>
      <w:r w:rsidRPr="007C3C07">
        <w:rPr>
          <w:rFonts w:asciiTheme="minorHAnsi" w:eastAsia="Candara" w:hAnsiTheme="minorHAnsi" w:cstheme="minorHAnsi"/>
          <w:bCs/>
          <w:sz w:val="20"/>
          <w:szCs w:val="20"/>
        </w:rPr>
        <w:t xml:space="preserve">Informácie o programe </w:t>
      </w:r>
      <w:proofErr w:type="spellStart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Interreg</w:t>
      </w:r>
      <w:proofErr w:type="spellEnd"/>
      <w:r w:rsidRPr="007C3C07">
        <w:rPr>
          <w:rFonts w:asciiTheme="minorHAnsi" w:eastAsia="Candara" w:hAnsiTheme="minorHAnsi" w:cstheme="minorHAnsi"/>
          <w:bCs/>
          <w:sz w:val="20"/>
          <w:szCs w:val="20"/>
        </w:rPr>
        <w:t xml:space="preserve"> Poľsko – Slovensko 2021-2027 nájdete na: </w:t>
      </w:r>
      <w:hyperlink r:id="rId6" w:history="1">
        <w:r w:rsidRPr="007C3C07">
          <w:rPr>
            <w:rStyle w:val="Hypertextovprepojenie"/>
            <w:rFonts w:asciiTheme="minorHAnsi" w:eastAsia="Candara" w:hAnsiTheme="minorHAnsi" w:cstheme="minorHAnsi"/>
            <w:bCs/>
            <w:color w:val="auto"/>
            <w:sz w:val="20"/>
            <w:szCs w:val="20"/>
          </w:rPr>
          <w:t>https://sk.plsk.eu/</w:t>
        </w:r>
      </w:hyperlink>
      <w:r w:rsidRPr="007C3C07">
        <w:rPr>
          <w:rStyle w:val="Hypertextovprepojenie"/>
          <w:rFonts w:asciiTheme="minorHAnsi" w:eastAsia="Candara" w:hAnsiTheme="minorHAnsi" w:cstheme="minorHAnsi"/>
          <w:bCs/>
          <w:color w:val="auto"/>
          <w:sz w:val="20"/>
          <w:szCs w:val="20"/>
        </w:rPr>
        <w:t xml:space="preserve">, </w:t>
      </w:r>
      <w:r w:rsidRPr="007C3C07">
        <w:rPr>
          <w:rFonts w:asciiTheme="minorHAnsi" w:eastAsia="Candara" w:hAnsiTheme="minorHAnsi" w:cstheme="minorHAnsi"/>
          <w:bCs/>
          <w:sz w:val="20"/>
          <w:szCs w:val="20"/>
        </w:rPr>
        <w:t xml:space="preserve">správca Fondu malých projektov: </w:t>
      </w:r>
      <w:hyperlink r:id="rId7" w:history="1">
        <w:r w:rsidRPr="007C3C07">
          <w:rPr>
            <w:rStyle w:val="Hypertextovprepojenie"/>
            <w:rFonts w:asciiTheme="minorHAnsi" w:eastAsia="Candara" w:hAnsiTheme="minorHAnsi" w:cstheme="minorHAnsi"/>
            <w:bCs/>
            <w:color w:val="auto"/>
            <w:sz w:val="20"/>
            <w:szCs w:val="20"/>
          </w:rPr>
          <w:t>https://www.fmp-tatry.eu/</w:t>
        </w:r>
      </w:hyperlink>
    </w:p>
    <w:p w:rsidR="007C3C07" w:rsidRPr="007C3C07" w:rsidRDefault="007C3C07" w:rsidP="007C3C07">
      <w:pPr>
        <w:spacing w:line="228" w:lineRule="auto"/>
        <w:jc w:val="center"/>
        <w:rPr>
          <w:rFonts w:asciiTheme="minorHAnsi" w:eastAsia="Candara" w:hAnsiTheme="minorHAnsi" w:cstheme="minorHAnsi"/>
          <w:bCs/>
          <w:sz w:val="20"/>
          <w:szCs w:val="20"/>
        </w:rPr>
      </w:pPr>
      <w:r w:rsidRPr="007C3C07">
        <w:rPr>
          <w:rFonts w:asciiTheme="minorHAnsi" w:eastAsia="Candara" w:hAnsiTheme="minorHAnsi" w:cstheme="minorHAnsi"/>
          <w:bCs/>
          <w:sz w:val="20"/>
          <w:szCs w:val="20"/>
        </w:rPr>
        <w:t>#</w:t>
      </w:r>
      <w:proofErr w:type="spellStart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Interreg</w:t>
      </w:r>
      <w:proofErr w:type="spellEnd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, #</w:t>
      </w:r>
      <w:proofErr w:type="spellStart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InterregPLSK</w:t>
      </w:r>
      <w:proofErr w:type="spellEnd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, #</w:t>
      </w:r>
      <w:proofErr w:type="spellStart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PolskaSlowacja</w:t>
      </w:r>
      <w:proofErr w:type="spellEnd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, #</w:t>
      </w:r>
      <w:proofErr w:type="spellStart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PolskoSlovensko</w:t>
      </w:r>
      <w:proofErr w:type="spellEnd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, #EÚ, #</w:t>
      </w:r>
      <w:proofErr w:type="spellStart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EuropeanCommission</w:t>
      </w:r>
      <w:proofErr w:type="spellEnd"/>
      <w:r w:rsidRPr="007C3C07">
        <w:rPr>
          <w:rFonts w:asciiTheme="minorHAnsi" w:eastAsia="Candara" w:hAnsiTheme="minorHAnsi" w:cstheme="minorHAnsi"/>
          <w:bCs/>
          <w:sz w:val="20"/>
          <w:szCs w:val="20"/>
        </w:rPr>
        <w:t>,</w:t>
      </w:r>
      <w:bookmarkStart w:id="0" w:name="_GoBack"/>
      <w:bookmarkEnd w:id="0"/>
    </w:p>
    <w:sectPr w:rsidR="007C3C07" w:rsidRPr="007C3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72B8E"/>
    <w:multiLevelType w:val="multilevel"/>
    <w:tmpl w:val="69B0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04"/>
    <w:rsid w:val="003A0923"/>
    <w:rsid w:val="005E7CFC"/>
    <w:rsid w:val="00747104"/>
    <w:rsid w:val="007C3C07"/>
    <w:rsid w:val="009C1656"/>
    <w:rsid w:val="00A37BF0"/>
    <w:rsid w:val="00AC111A"/>
    <w:rsid w:val="00CA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B1D02-27FF-440F-B58B-314F62ED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47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E7C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747104"/>
    <w:pPr>
      <w:spacing w:before="100" w:beforeAutospacing="1" w:after="100" w:afterAutospacing="1"/>
      <w:outlineLvl w:val="2"/>
    </w:pPr>
    <w:rPr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47104"/>
    <w:rPr>
      <w:color w:val="0563C1" w:themeColor="hyperlink"/>
      <w:u w:val="single"/>
    </w:rPr>
  </w:style>
  <w:style w:type="paragraph" w:customStyle="1" w:styleId="Default">
    <w:name w:val="Default"/>
    <w:rsid w:val="00747104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customStyle="1" w:styleId="rynqvb">
    <w:name w:val="rynqvb"/>
    <w:basedOn w:val="Predvolenpsmoodseku"/>
    <w:rsid w:val="00747104"/>
  </w:style>
  <w:style w:type="character" w:customStyle="1" w:styleId="Nadpis3Char">
    <w:name w:val="Nadpis 3 Char"/>
    <w:basedOn w:val="Predvolenpsmoodseku"/>
    <w:link w:val="Nadpis3"/>
    <w:uiPriority w:val="9"/>
    <w:rsid w:val="00747104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47104"/>
    <w:pPr>
      <w:spacing w:before="100" w:beforeAutospacing="1" w:after="100" w:afterAutospacing="1"/>
    </w:pPr>
    <w:rPr>
      <w:lang w:eastAsia="sk-SK"/>
    </w:rPr>
  </w:style>
  <w:style w:type="character" w:styleId="Siln">
    <w:name w:val="Strong"/>
    <w:basedOn w:val="Predvolenpsmoodseku"/>
    <w:uiPriority w:val="22"/>
    <w:qFormat/>
    <w:rsid w:val="00747104"/>
    <w:rPr>
      <w:b/>
      <w:bCs/>
    </w:rPr>
  </w:style>
  <w:style w:type="character" w:styleId="Zvraznenie">
    <w:name w:val="Emphasis"/>
    <w:basedOn w:val="Predvolenpsmoodseku"/>
    <w:uiPriority w:val="20"/>
    <w:qFormat/>
    <w:rsid w:val="00747104"/>
    <w:rPr>
      <w:i/>
      <w:iCs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E7C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mp-tatry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.plsk.e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Žabenský</dc:creator>
  <cp:keywords/>
  <dc:description/>
  <cp:lastModifiedBy>Miroslav Žabenský</cp:lastModifiedBy>
  <cp:revision>5</cp:revision>
  <dcterms:created xsi:type="dcterms:W3CDTF">2026-02-05T15:50:00Z</dcterms:created>
  <dcterms:modified xsi:type="dcterms:W3CDTF">2026-02-05T16:39:00Z</dcterms:modified>
</cp:coreProperties>
</file>