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5FB" w:rsidRDefault="00D75EC6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PRÍLOHY:</w:t>
      </w:r>
    </w:p>
    <w:p w:rsidR="00B965FB" w:rsidRDefault="00D75EC6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K žiadosti o stavebné povolenie sa prikladajú:</w:t>
      </w:r>
    </w:p>
    <w:p w:rsidR="00B965FB" w:rsidRDefault="00B965FB" w:rsidP="005913DC">
      <w:pPr>
        <w:spacing w:line="51" w:lineRule="exact"/>
        <w:jc w:val="both"/>
        <w:rPr>
          <w:sz w:val="24"/>
          <w:szCs w:val="24"/>
        </w:rPr>
      </w:pPr>
    </w:p>
    <w:p w:rsidR="005913DC" w:rsidRPr="005913DC" w:rsidRDefault="005913DC" w:rsidP="005913DC">
      <w:pPr>
        <w:pStyle w:val="Odsekzoznamu"/>
        <w:numPr>
          <w:ilvl w:val="0"/>
          <w:numId w:val="6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</w:t>
      </w:r>
      <w:r w:rsidR="00B915C5" w:rsidRPr="005913DC">
        <w:rPr>
          <w:rFonts w:eastAsia="Times New Roman"/>
          <w:sz w:val="20"/>
          <w:szCs w:val="20"/>
        </w:rPr>
        <w:t>k žiadateľ nie je vlastníkom nehnuteľnosti, predloží doklad o inom práve k nehnuteľnosti ((</w:t>
      </w:r>
      <w:r w:rsidR="00B915C5" w:rsidRPr="005913DC">
        <w:rPr>
          <w:sz w:val="20"/>
          <w:szCs w:val="20"/>
        </w:rPr>
        <w:t>užívanie pozemku alebo  stavby na základe nájomnej zmluvy, dohody o budúcej kúpnej zmluve alebo dohody o budúcej zmluve o vecnom bremene, z ktorých vyplýva právo uskutočniť stavbu alebo jej zmenu)</w:t>
      </w:r>
    </w:p>
    <w:p w:rsidR="005913DC" w:rsidRPr="005913DC" w:rsidRDefault="005913DC" w:rsidP="005913DC">
      <w:pPr>
        <w:pStyle w:val="Odsekzoznamu"/>
        <w:numPr>
          <w:ilvl w:val="0"/>
          <w:numId w:val="6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projektovú dokumentáciu</w:t>
      </w:r>
      <w:r w:rsidR="00D75EC6" w:rsidRPr="005913DC">
        <w:rPr>
          <w:rFonts w:eastAsia="Times New Roman"/>
          <w:sz w:val="19"/>
          <w:szCs w:val="19"/>
        </w:rPr>
        <w:t xml:space="preserve"> stavby (projekt stavby) vypracovaná oprávnenou osobou v </w:t>
      </w:r>
      <w:r w:rsidR="00F85A6C" w:rsidRPr="005913DC">
        <w:rPr>
          <w:rFonts w:eastAsia="Times New Roman"/>
          <w:sz w:val="20"/>
          <w:szCs w:val="20"/>
        </w:rPr>
        <w:t>dvoch</w:t>
      </w:r>
      <w:r w:rsidR="00D75EC6" w:rsidRPr="005913DC">
        <w:rPr>
          <w:rFonts w:eastAsia="Times New Roman"/>
          <w:sz w:val="19"/>
          <w:szCs w:val="19"/>
        </w:rPr>
        <w:t xml:space="preserve"> vyhotoveniach; ak ide o stavby podľa § 45 ods. 6 písm. a) zákona, postačí dokumentácia vypracovaná osobou s príslušným odborným vzdelaním</w:t>
      </w:r>
    </w:p>
    <w:p w:rsidR="005913DC" w:rsidRDefault="00D75EC6" w:rsidP="005913DC">
      <w:pPr>
        <w:pStyle w:val="Odsekzoznamu"/>
        <w:numPr>
          <w:ilvl w:val="0"/>
          <w:numId w:val="6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 w:rsidRPr="005913DC">
        <w:rPr>
          <w:rFonts w:eastAsia="Times New Roman"/>
          <w:sz w:val="20"/>
          <w:szCs w:val="20"/>
        </w:rPr>
        <w:t>rozhodnutia, stanoviská, vyjadrenia, súhlasy, posúdenia alebo iné opatrenia dotknutých orgánov štátnej správy a obce, (orgán hygieny, veteriny, požiarnej ochrany, dopravy, ochrany PPF alebo LPF, ochrany prírody, ovzdušia, odpadového hospodárstva, vodohospodársky orgán, inšpektorát práce, správcovia sietí OVS, a.s., SPP- distribúcia, a.s., Stredoslovenská distribučná, a.s., UPC, Orange Slovak Telekom, a.s., obec a pod.)</w:t>
      </w:r>
    </w:p>
    <w:p w:rsidR="005913DC" w:rsidRDefault="00D75EC6" w:rsidP="005913DC">
      <w:pPr>
        <w:pStyle w:val="Odsekzoznamu"/>
        <w:numPr>
          <w:ilvl w:val="0"/>
          <w:numId w:val="6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 w:rsidRPr="005913DC">
        <w:rPr>
          <w:rFonts w:eastAsia="Times New Roman"/>
          <w:sz w:val="20"/>
          <w:szCs w:val="20"/>
        </w:rPr>
        <w:t>doklady o rokovaniach s účastníkmi stavebného konania, ak sa konali pred podaním žiadosti</w:t>
      </w:r>
    </w:p>
    <w:p w:rsidR="005913DC" w:rsidRDefault="00D75EC6" w:rsidP="005913DC">
      <w:pPr>
        <w:pStyle w:val="Odsekzoznamu"/>
        <w:numPr>
          <w:ilvl w:val="0"/>
          <w:numId w:val="6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 w:rsidRPr="005913DC">
        <w:rPr>
          <w:rFonts w:eastAsia="Times New Roman"/>
          <w:sz w:val="20"/>
          <w:szCs w:val="20"/>
        </w:rPr>
        <w:t>ak ide o stavbu uskutočňovanú svojpomocou, vyhlásenie stavebného dozoru alebo kvalifikovanej osoby, že bude zabezpečovať odborné vedenie uskutočňovania stavby</w:t>
      </w:r>
    </w:p>
    <w:p w:rsidR="00B965FB" w:rsidRPr="005913DC" w:rsidRDefault="00D75EC6" w:rsidP="005913DC">
      <w:pPr>
        <w:pStyle w:val="Odsekzoznamu"/>
        <w:numPr>
          <w:ilvl w:val="0"/>
          <w:numId w:val="6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 w:rsidRPr="005913DC">
        <w:rPr>
          <w:rFonts w:eastAsia="Times New Roman"/>
          <w:sz w:val="20"/>
          <w:szCs w:val="20"/>
        </w:rPr>
        <w:t>správny poplatok v zmysle zákona č. 145/1</w:t>
      </w:r>
      <w:r w:rsidR="000721AC">
        <w:rPr>
          <w:rFonts w:eastAsia="Times New Roman"/>
          <w:sz w:val="20"/>
          <w:szCs w:val="20"/>
        </w:rPr>
        <w:t>995 Z.z. o správnych poplatkoch sa platí</w:t>
      </w:r>
      <w:bookmarkStart w:id="0" w:name="_GoBack"/>
      <w:bookmarkEnd w:id="0"/>
      <w:r w:rsidR="00D55E98" w:rsidRPr="005913DC">
        <w:rPr>
          <w:rFonts w:eastAsia="Times New Roman"/>
          <w:sz w:val="20"/>
          <w:szCs w:val="20"/>
        </w:rPr>
        <w:t xml:space="preserve"> v pokladni stavebného úradu, alebo bankovým prevodom na jeho účet</w:t>
      </w:r>
      <w:r w:rsidRPr="005913DC">
        <w:rPr>
          <w:rFonts w:eastAsia="Times New Roman"/>
          <w:sz w:val="20"/>
          <w:szCs w:val="20"/>
        </w:rPr>
        <w:t>; ak stavba obsahuje viac samostatných objektov, vyberie sa súhrnný poplatok za všetky samostatné objekty uvedené v návrhu na vydanie SP/</w:t>
      </w:r>
    </w:p>
    <w:p w:rsidR="00B965FB" w:rsidRDefault="00B965FB">
      <w:pPr>
        <w:spacing w:line="240" w:lineRule="exact"/>
        <w:rPr>
          <w:sz w:val="24"/>
          <w:szCs w:val="24"/>
        </w:rPr>
      </w:pPr>
    </w:p>
    <w:p w:rsidR="00B965FB" w:rsidRDefault="00D75EC6">
      <w:pPr>
        <w:spacing w:line="249" w:lineRule="auto"/>
        <w:ind w:right="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Ak ide o stavbu, v ktorej sa má zabudovať jadrové zariadenie, k žiadosti sa pripojí súhlas úradu jadrového dozoru udelený na základe posúdenia bezpečnostnej dokumentácie podľa osobitného predpisu</w:t>
      </w:r>
      <w:r>
        <w:rPr>
          <w:rFonts w:eastAsia="Times New Roman"/>
          <w:i/>
          <w:iCs/>
          <w:sz w:val="20"/>
          <w:szCs w:val="20"/>
        </w:rPr>
        <w:t>.</w:t>
      </w:r>
    </w:p>
    <w:p w:rsidR="00B965FB" w:rsidRDefault="00B965FB">
      <w:pPr>
        <w:spacing w:line="178" w:lineRule="exact"/>
        <w:rPr>
          <w:sz w:val="24"/>
          <w:szCs w:val="24"/>
        </w:rPr>
      </w:pPr>
    </w:p>
    <w:p w:rsidR="00B965FB" w:rsidRDefault="00D75EC6">
      <w:pPr>
        <w:spacing w:line="231" w:lineRule="auto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Projektová dokumentácia stavby (projekt stavby), ktorá sa predkladá k stavebnému konaniu </w:t>
      </w:r>
      <w:r>
        <w:rPr>
          <w:rFonts w:eastAsia="Times New Roman"/>
          <w:b/>
          <w:bCs/>
          <w:sz w:val="20"/>
          <w:szCs w:val="20"/>
          <w:u w:val="single"/>
        </w:rPr>
        <w:t xml:space="preserve">v </w:t>
      </w:r>
      <w:r w:rsidR="008263ED">
        <w:rPr>
          <w:rFonts w:eastAsia="Times New Roman"/>
          <w:b/>
          <w:bCs/>
          <w:sz w:val="20"/>
          <w:szCs w:val="20"/>
          <w:u w:val="single"/>
        </w:rPr>
        <w:t>dvoch</w:t>
      </w:r>
      <w:r>
        <w:rPr>
          <w:rFonts w:eastAsia="Times New Roman"/>
          <w:b/>
          <w:bCs/>
          <w:sz w:val="20"/>
          <w:szCs w:val="20"/>
          <w:u w:val="single"/>
        </w:rPr>
        <w:t xml:space="preserve"> vyhotoveniach,</w:t>
      </w:r>
      <w:r>
        <w:rPr>
          <w:rFonts w:eastAsia="Times New Roman"/>
          <w:b/>
          <w:bCs/>
          <w:sz w:val="20"/>
          <w:szCs w:val="20"/>
        </w:rPr>
        <w:t xml:space="preserve"> obsahuje podľa druhu a účelu stavby najmä:</w:t>
      </w:r>
    </w:p>
    <w:p w:rsidR="00B965FB" w:rsidRDefault="00B965FB">
      <w:pPr>
        <w:spacing w:line="1" w:lineRule="exact"/>
        <w:rPr>
          <w:sz w:val="24"/>
          <w:szCs w:val="24"/>
        </w:rPr>
      </w:pPr>
    </w:p>
    <w:p w:rsidR="00B965FB" w:rsidRDefault="00D75EC6">
      <w:pPr>
        <w:tabs>
          <w:tab w:val="left" w:pos="560"/>
        </w:tabs>
        <w:spacing w:line="224" w:lineRule="auto"/>
        <w:ind w:left="580" w:hanging="359"/>
        <w:jc w:val="both"/>
        <w:rPr>
          <w:sz w:val="20"/>
          <w:szCs w:val="20"/>
        </w:rPr>
      </w:pPr>
      <w:r>
        <w:rPr>
          <w:rFonts w:ascii="Segoe UI" w:eastAsia="Segoe UI" w:hAnsi="Segoe UI" w:cs="Segoe UI"/>
          <w:color w:val="494949"/>
          <w:sz w:val="21"/>
          <w:szCs w:val="21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sprievodnú správu s údajmi, ktoré dopĺňajú základné údaje o stavbe uvedené v žiadosti o stavebné povolenie, s informáciami o dodržaní podmienok rozhodnutia o umiestnení stavby, ak bolo vydané, alebo o dodržaní podmienok schváleného územného plánu zóny, ak sa územné rozhodnutie nevyžaduje, s informáciami o výsledku vykonaných prieskumov a meraní</w:t>
      </w:r>
    </w:p>
    <w:p w:rsidR="00B965FB" w:rsidRDefault="00B965FB">
      <w:pPr>
        <w:spacing w:line="46" w:lineRule="exact"/>
        <w:rPr>
          <w:sz w:val="24"/>
          <w:szCs w:val="24"/>
        </w:rPr>
      </w:pPr>
    </w:p>
    <w:p w:rsidR="00B965FB" w:rsidRDefault="00D75EC6">
      <w:pPr>
        <w:numPr>
          <w:ilvl w:val="0"/>
          <w:numId w:val="2"/>
        </w:numPr>
        <w:tabs>
          <w:tab w:val="left" w:pos="580"/>
        </w:tabs>
        <w:ind w:left="580" w:hanging="364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súhrnnú technickú správu, z ktorej musia byť dostatočne zrejmé</w:t>
      </w:r>
    </w:p>
    <w:p w:rsidR="00B965FB" w:rsidRDefault="00B965FB">
      <w:pPr>
        <w:spacing w:line="52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2"/>
        </w:numPr>
        <w:tabs>
          <w:tab w:val="left" w:pos="1000"/>
        </w:tabs>
        <w:spacing w:line="225" w:lineRule="auto"/>
        <w:ind w:left="1000" w:hanging="356"/>
        <w:jc w:val="both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navrhované urbanistické, architektonické a stavebnotechnické riešenie stavby, jej konštrukčných častí a použitie vhodných stavebných výrobkov vo väzbe na splnenie základných požiadaviek na stavby (</w:t>
      </w:r>
      <w:r>
        <w:rPr>
          <w:rFonts w:eastAsia="Times New Roman"/>
          <w:i/>
          <w:iCs/>
          <w:sz w:val="20"/>
          <w:szCs w:val="20"/>
          <w:u w:val="single"/>
        </w:rPr>
        <w:t>§ 43d zákona</w:t>
      </w:r>
      <w:r>
        <w:rPr>
          <w:rFonts w:eastAsia="Times New Roman"/>
          <w:sz w:val="20"/>
          <w:szCs w:val="20"/>
        </w:rPr>
        <w:t>) a dodržanie všeobecných technických požiadaviek na výstavbu vrátane všeobecných technických požiadaviek na stavby užívané osobami s obmedzenou schopnosťou pohybu</w:t>
      </w:r>
    </w:p>
    <w:p w:rsidR="00B965FB" w:rsidRDefault="00B965FB">
      <w:pPr>
        <w:spacing w:line="3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2"/>
        </w:numPr>
        <w:tabs>
          <w:tab w:val="left" w:pos="1000"/>
        </w:tabs>
        <w:spacing w:line="226" w:lineRule="auto"/>
        <w:ind w:left="1000" w:hanging="35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požiarno-bezpečnostné riešenie podľa osobitných predpisov</w:t>
      </w:r>
    </w:p>
    <w:p w:rsidR="00B965FB" w:rsidRDefault="00D75EC6">
      <w:pPr>
        <w:numPr>
          <w:ilvl w:val="1"/>
          <w:numId w:val="2"/>
        </w:numPr>
        <w:tabs>
          <w:tab w:val="left" w:pos="1000"/>
        </w:tabs>
        <w:spacing w:line="206" w:lineRule="auto"/>
        <w:ind w:left="1000" w:hanging="35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nároky na zásobovanie energiami a vodou, odvádzanie odpadových vôd, dopravu (vrátane parkovania), zneškodňovanie odpadov a riešenie napojenia stavby na jestvujúce siete a zariadenia technického vybavenia,</w:t>
      </w:r>
    </w:p>
    <w:p w:rsidR="00B965FB" w:rsidRDefault="00B965FB">
      <w:pPr>
        <w:spacing w:line="54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2"/>
        </w:numPr>
        <w:tabs>
          <w:tab w:val="left" w:pos="1000"/>
        </w:tabs>
        <w:spacing w:line="211" w:lineRule="auto"/>
        <w:ind w:left="1000" w:hanging="35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údaje o nadzemných a podzemných stavbách na stavebnom pozemku (vrátane sietí a zariadení technického vybavenia) a o jestvujúcich ochranných pásmach</w:t>
      </w:r>
    </w:p>
    <w:p w:rsidR="00B965FB" w:rsidRDefault="00B965FB">
      <w:pPr>
        <w:spacing w:line="51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2"/>
        </w:numPr>
        <w:tabs>
          <w:tab w:val="left" w:pos="1000"/>
        </w:tabs>
        <w:spacing w:line="220" w:lineRule="auto"/>
        <w:ind w:left="1000" w:hanging="356"/>
        <w:jc w:val="both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pri stavbách s prevádzkovým, výrobným alebo technickým zariadením údaje o tomto zariadení, o koncepcii skladovania, riešení vnútornej dopravy a plôch pre obsluhu, údržbu a opravy a nároky na vykonanie skúšobnej prevádzky po dokončení stavby</w:t>
      </w:r>
    </w:p>
    <w:p w:rsidR="00B965FB" w:rsidRDefault="00B965FB">
      <w:pPr>
        <w:spacing w:line="2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2"/>
        </w:numPr>
        <w:tabs>
          <w:tab w:val="left" w:pos="1000"/>
        </w:tabs>
        <w:spacing w:line="232" w:lineRule="auto"/>
        <w:ind w:left="1000" w:hanging="35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údaje o splnení podmienok určených dotknutými orgánmi štátnej správy, ak boli obstarané pred podaním žiadosti</w:t>
      </w:r>
    </w:p>
    <w:p w:rsidR="00B965FB" w:rsidRDefault="00B965FB">
      <w:pPr>
        <w:spacing w:line="20" w:lineRule="exact"/>
        <w:rPr>
          <w:sz w:val="24"/>
          <w:szCs w:val="24"/>
        </w:rPr>
      </w:pPr>
    </w:p>
    <w:p w:rsidR="00B965FB" w:rsidRDefault="00D75EC6">
      <w:pPr>
        <w:tabs>
          <w:tab w:val="left" w:pos="980"/>
        </w:tabs>
        <w:spacing w:line="210" w:lineRule="auto"/>
        <w:ind w:left="1000" w:hanging="359"/>
        <w:rPr>
          <w:sz w:val="20"/>
          <w:szCs w:val="20"/>
        </w:rPr>
      </w:pPr>
      <w:r>
        <w:rPr>
          <w:rFonts w:ascii="Segoe UI" w:eastAsia="Segoe UI" w:hAnsi="Segoe UI" w:cs="Segoe UI"/>
          <w:color w:val="494949"/>
          <w:sz w:val="21"/>
          <w:szCs w:val="21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usporiadanie staveniska a opatrenia na zaistenie bezpečnosti a ochrany zdravia pri práci, ak ide o uskutočňovanie stavebných prác za mimoriadnych podmienok</w:t>
      </w:r>
    </w:p>
    <w:p w:rsidR="00B965FB" w:rsidRDefault="00B965FB">
      <w:pPr>
        <w:spacing w:line="104" w:lineRule="exact"/>
        <w:rPr>
          <w:sz w:val="24"/>
          <w:szCs w:val="24"/>
        </w:rPr>
      </w:pPr>
    </w:p>
    <w:p w:rsidR="00B965FB" w:rsidRDefault="00D75EC6">
      <w:pPr>
        <w:numPr>
          <w:ilvl w:val="1"/>
          <w:numId w:val="3"/>
        </w:numPr>
        <w:tabs>
          <w:tab w:val="left" w:pos="1000"/>
        </w:tabs>
        <w:spacing w:line="211" w:lineRule="auto"/>
        <w:ind w:left="1000" w:hanging="35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spôsob zaistenia bezpečnosti a ochrany zdravia pri práci a bezpečnosti technických zariadení pri výstavbe aj pri budúcej prevádzke</w:t>
      </w:r>
    </w:p>
    <w:p w:rsidR="00B965FB" w:rsidRDefault="00B965FB">
      <w:pPr>
        <w:spacing w:line="222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0"/>
          <w:numId w:val="3"/>
        </w:numPr>
        <w:tabs>
          <w:tab w:val="left" w:pos="580"/>
        </w:tabs>
        <w:ind w:left="580" w:hanging="364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celkovú situáciu stavby (zastavovací plán) v mierke spravidla 1:200 až 1:500 s vyznačením</w:t>
      </w:r>
    </w:p>
    <w:p w:rsidR="00B965FB" w:rsidRDefault="00B965FB">
      <w:pPr>
        <w:spacing w:line="52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3"/>
        </w:numPr>
        <w:tabs>
          <w:tab w:val="left" w:pos="1010"/>
        </w:tabs>
        <w:spacing w:line="210" w:lineRule="auto"/>
        <w:ind w:left="1060" w:hanging="41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hraníc pozemkov a ich parcelných čísel podľa katastra nehnuteľností vrátane susedných pozemkov jestvujúcich stavieb na nich</w:t>
      </w:r>
    </w:p>
    <w:p w:rsidR="00B965FB" w:rsidRDefault="00B965FB">
      <w:pPr>
        <w:spacing w:line="1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3"/>
        </w:numPr>
        <w:tabs>
          <w:tab w:val="left" w:pos="1000"/>
        </w:tabs>
        <w:spacing w:line="233" w:lineRule="auto"/>
        <w:ind w:left="1000" w:hanging="35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sietí a zariadení technického vybavenia</w:t>
      </w:r>
    </w:p>
    <w:p w:rsidR="00B965FB" w:rsidRDefault="00B965FB">
      <w:pPr>
        <w:spacing w:line="2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3"/>
        </w:numPr>
        <w:tabs>
          <w:tab w:val="left" w:pos="1000"/>
        </w:tabs>
        <w:spacing w:line="231" w:lineRule="auto"/>
        <w:ind w:left="1000" w:hanging="35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návrhu prípojok na dopravné a technické vybavenie územia</w:t>
      </w:r>
    </w:p>
    <w:p w:rsidR="00B965FB" w:rsidRDefault="00B965FB">
      <w:pPr>
        <w:spacing w:line="2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1"/>
          <w:numId w:val="3"/>
        </w:numPr>
        <w:tabs>
          <w:tab w:val="left" w:pos="1000"/>
        </w:tabs>
        <w:spacing w:line="229" w:lineRule="auto"/>
        <w:ind w:left="1000" w:hanging="356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ochranných pásem</w:t>
      </w:r>
    </w:p>
    <w:p w:rsidR="00B965FB" w:rsidRDefault="00B965FB">
      <w:pPr>
        <w:spacing w:line="239" w:lineRule="exact"/>
        <w:rPr>
          <w:sz w:val="24"/>
          <w:szCs w:val="24"/>
        </w:rPr>
      </w:pPr>
    </w:p>
    <w:p w:rsidR="00B965FB" w:rsidRPr="00553DD8" w:rsidRDefault="00D75EC6" w:rsidP="00553DD8">
      <w:pPr>
        <w:spacing w:line="234" w:lineRule="auto"/>
        <w:rPr>
          <w:sz w:val="20"/>
          <w:szCs w:val="20"/>
        </w:rPr>
        <w:sectPr w:rsidR="00B965FB" w:rsidRPr="00553DD8">
          <w:pgSz w:w="11900" w:h="16838"/>
          <w:pgMar w:top="1412" w:right="846" w:bottom="1089" w:left="840" w:header="0" w:footer="0" w:gutter="0"/>
          <w:cols w:space="708" w:equalWidth="0">
            <w:col w:w="10220"/>
          </w:cols>
        </w:sectPr>
      </w:pPr>
      <w:r>
        <w:rPr>
          <w:rFonts w:eastAsia="Times New Roman"/>
          <w:sz w:val="20"/>
          <w:szCs w:val="20"/>
        </w:rPr>
        <w:t>Ak ide o líniovú stavbu, zakreslenie jej trasy v mapovom podklade v mierke 1:10 000 alebo 1:50 000; ďalšie výkresy podľa účelu a zložitosti stavby.</w:t>
      </w:r>
    </w:p>
    <w:p w:rsidR="00B965FB" w:rsidRDefault="00B965FB">
      <w:pPr>
        <w:spacing w:line="190" w:lineRule="exact"/>
        <w:rPr>
          <w:sz w:val="20"/>
          <w:szCs w:val="20"/>
        </w:rPr>
      </w:pPr>
    </w:p>
    <w:p w:rsidR="00B965FB" w:rsidRDefault="00D75EC6">
      <w:pPr>
        <w:numPr>
          <w:ilvl w:val="0"/>
          <w:numId w:val="4"/>
        </w:numPr>
        <w:tabs>
          <w:tab w:val="left" w:pos="580"/>
        </w:tabs>
        <w:ind w:left="580" w:hanging="364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vytyčovacie výkresy alebo potrebné geometrické parametre vyznačené v zastavovacom pláne jednoduchých stavieb</w:t>
      </w:r>
    </w:p>
    <w:p w:rsidR="00B965FB" w:rsidRDefault="00B965FB">
      <w:pPr>
        <w:spacing w:line="52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0"/>
          <w:numId w:val="4"/>
        </w:numPr>
        <w:tabs>
          <w:tab w:val="left" w:pos="580"/>
        </w:tabs>
        <w:spacing w:line="230" w:lineRule="auto"/>
        <w:ind w:left="580" w:right="20" w:hanging="364"/>
        <w:jc w:val="both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stavebné výkresy stavby, z ktorých je zrejmý doterajší a navrhovaný stav, predovšetkým pôdorysy, rezy a pohľady (v mierke spravidla 1:100) obsahujúce jednotlivé druhy konštrukcií a častí stavby (napr. základy, nosné konštrukcie, schodištia, obvodový plášť, strešné konštrukcie, komíny), polohové a výškové usporiadanie stavby a všetkých jej priestorov s presným vyznačením funkčného určenia, schematické vyznačenie vnútorných rozvodov a inštalácií (napr. zdravotechnické vrátane požiarneho vodovodu, silnoprúdové, slaboprúdové, plynové, teplovodné), technické zariadenia (napr. kotolne a výťahy), úpravy a riešenia predpísané na osobitné zabezpečenie stavie</w:t>
      </w:r>
      <w:r w:rsidR="00B07232">
        <w:rPr>
          <w:rFonts w:eastAsia="Times New Roman"/>
          <w:sz w:val="20"/>
          <w:szCs w:val="20"/>
        </w:rPr>
        <w:t>b z hľadiska civilnej ochrany,</w:t>
      </w:r>
      <w:r>
        <w:rPr>
          <w:rFonts w:eastAsia="Times New Roman"/>
          <w:sz w:val="20"/>
          <w:szCs w:val="20"/>
        </w:rPr>
        <w:t xml:space="preserve"> pož</w:t>
      </w:r>
      <w:r w:rsidR="008A70F2">
        <w:rPr>
          <w:rFonts w:eastAsia="Times New Roman"/>
          <w:sz w:val="20"/>
          <w:szCs w:val="20"/>
        </w:rPr>
        <w:t>iarnej ochrany</w:t>
      </w:r>
      <w:r>
        <w:rPr>
          <w:rFonts w:eastAsia="Times New Roman"/>
          <w:sz w:val="20"/>
          <w:szCs w:val="20"/>
        </w:rPr>
        <w:t>) a z hľadiska splnenia základných požiadaviek na stavby</w:t>
      </w:r>
    </w:p>
    <w:p w:rsidR="00B965FB" w:rsidRDefault="00B965FB">
      <w:pPr>
        <w:spacing w:line="6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0"/>
          <w:numId w:val="4"/>
        </w:numPr>
        <w:tabs>
          <w:tab w:val="left" w:pos="580"/>
        </w:tabs>
        <w:spacing w:line="233" w:lineRule="auto"/>
        <w:ind w:left="580" w:hanging="364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statické posúdenie stavby, ktoré preukazuje mechanickú odolnosť a stabilitu nosnej konštrukcie</w:t>
      </w:r>
    </w:p>
    <w:p w:rsidR="00B965FB" w:rsidRDefault="00B965FB">
      <w:pPr>
        <w:spacing w:line="2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0"/>
          <w:numId w:val="4"/>
        </w:numPr>
        <w:tabs>
          <w:tab w:val="left" w:pos="580"/>
        </w:tabs>
        <w:spacing w:line="231" w:lineRule="auto"/>
        <w:ind w:left="580" w:hanging="364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návrh úprav okolia stavby (exteriéru) a návrh ochrany zelene počas uskutočňovania stavby</w:t>
      </w:r>
    </w:p>
    <w:p w:rsidR="00B965FB" w:rsidRDefault="00B965FB">
      <w:pPr>
        <w:spacing w:line="50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0"/>
          <w:numId w:val="4"/>
        </w:numPr>
        <w:tabs>
          <w:tab w:val="left" w:pos="580"/>
        </w:tabs>
        <w:spacing w:line="210" w:lineRule="auto"/>
        <w:ind w:left="580" w:right="20" w:hanging="364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ak ide o stavby s prevádzkovým, výrobným alebo technickým zariadením, stavebné výkresy, ktoré obsahujú priestorové umiestnenie strojov a zariadení vrátane riešenia vnútorných komunikácií</w:t>
      </w:r>
    </w:p>
    <w:p w:rsidR="00B965FB" w:rsidRDefault="00B965FB">
      <w:pPr>
        <w:spacing w:line="53" w:lineRule="exact"/>
        <w:rPr>
          <w:rFonts w:ascii="Segoe UI" w:eastAsia="Segoe UI" w:hAnsi="Segoe UI" w:cs="Segoe UI"/>
          <w:color w:val="494949"/>
          <w:sz w:val="21"/>
          <w:szCs w:val="21"/>
        </w:rPr>
      </w:pPr>
    </w:p>
    <w:p w:rsidR="00B965FB" w:rsidRDefault="00D75EC6">
      <w:pPr>
        <w:numPr>
          <w:ilvl w:val="0"/>
          <w:numId w:val="4"/>
        </w:numPr>
        <w:tabs>
          <w:tab w:val="left" w:pos="580"/>
        </w:tabs>
        <w:spacing w:line="211" w:lineRule="auto"/>
        <w:ind w:left="580" w:hanging="364"/>
        <w:rPr>
          <w:rFonts w:ascii="Segoe UI" w:eastAsia="Segoe UI" w:hAnsi="Segoe UI" w:cs="Segoe UI"/>
          <w:color w:val="494949"/>
          <w:sz w:val="21"/>
          <w:szCs w:val="21"/>
        </w:rPr>
      </w:pPr>
      <w:r>
        <w:rPr>
          <w:rFonts w:eastAsia="Times New Roman"/>
          <w:sz w:val="20"/>
          <w:szCs w:val="20"/>
        </w:rPr>
        <w:t>ak ide o stavby s osobitnými nárokmi na uskutočňovanie, projekt organizácie výstavby, ak nepostačujú údaje uvedené v súhrnnej technickej správe</w:t>
      </w:r>
    </w:p>
    <w:p w:rsidR="00B965FB" w:rsidRDefault="00B965FB">
      <w:pPr>
        <w:spacing w:line="241" w:lineRule="exact"/>
        <w:rPr>
          <w:sz w:val="20"/>
          <w:szCs w:val="20"/>
        </w:rPr>
      </w:pPr>
    </w:p>
    <w:p w:rsidR="00B965FB" w:rsidRDefault="00D75EC6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Ak stavebník žiada o stavebné povolenie postupne na jednotlivé stavby súboru, projektová dokumentácia prvej stavby obsahuje celkovú situáciu (zastavovací plán) celého súboru stavieb vrátane zariadenia staveniska.</w:t>
      </w:r>
    </w:p>
    <w:p w:rsidR="00B965FB" w:rsidRDefault="00B965FB">
      <w:pPr>
        <w:spacing w:line="150" w:lineRule="exact"/>
        <w:rPr>
          <w:sz w:val="20"/>
          <w:szCs w:val="20"/>
        </w:rPr>
      </w:pPr>
    </w:p>
    <w:p w:rsidR="00B965FB" w:rsidRDefault="00D75EC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Celková situácia stavby a stavebné výkresy, najmä pôdorysy, rezy, pohľady, sa predkladajú vo vyhotovení, ktoré zaručuje stálosť tlače.</w:t>
      </w:r>
    </w:p>
    <w:p w:rsidR="00B965FB" w:rsidRDefault="00B965FB">
      <w:pPr>
        <w:spacing w:line="152" w:lineRule="exact"/>
        <w:rPr>
          <w:sz w:val="20"/>
          <w:szCs w:val="20"/>
        </w:rPr>
      </w:pPr>
    </w:p>
    <w:p w:rsidR="00B965FB" w:rsidRDefault="00D75EC6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Pri jednoduchých stavbách a dočasných stavbách zariadenia staveniska môže byť po prerokovaní so stavebným úradom v jednotlivých prípadoch rozsah a obsah projektovej dokumentácie primerane obmedzený.</w:t>
      </w:r>
    </w:p>
    <w:p w:rsidR="00B965FB" w:rsidRDefault="00B965FB">
      <w:pPr>
        <w:spacing w:line="200" w:lineRule="exact"/>
        <w:rPr>
          <w:sz w:val="20"/>
          <w:szCs w:val="20"/>
        </w:rPr>
      </w:pPr>
    </w:p>
    <w:p w:rsidR="00B965FB" w:rsidRDefault="00B965FB">
      <w:pPr>
        <w:spacing w:line="303" w:lineRule="exact"/>
        <w:rPr>
          <w:sz w:val="20"/>
          <w:szCs w:val="20"/>
        </w:rPr>
      </w:pPr>
    </w:p>
    <w:p w:rsidR="00B965FB" w:rsidRDefault="00D75EC6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Poznámka :</w:t>
      </w:r>
    </w:p>
    <w:p w:rsidR="00B965FB" w:rsidRDefault="00B965FB">
      <w:pPr>
        <w:spacing w:line="30" w:lineRule="exact"/>
        <w:rPr>
          <w:sz w:val="20"/>
          <w:szCs w:val="20"/>
        </w:rPr>
      </w:pPr>
    </w:p>
    <w:p w:rsidR="00B965FB" w:rsidRDefault="00D75EC6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>Rozsah uvedených dokladov môže byť podľa povahy stavby zúžený, ale i rozšírený o ďalšie doklady a údaje potrebné k vydaniu oznámenia (rozhodnutia) stavebného úradu. Po preskúmaní predložených dokladov môžu podľa povahy veci vyplynúť požiadavky na doplnenie ďalších údajov a doklad.</w:t>
      </w:r>
    </w:p>
    <w:sectPr w:rsidR="00B965FB">
      <w:pgSz w:w="11900" w:h="16838"/>
      <w:pgMar w:top="1440" w:right="846" w:bottom="1440" w:left="840" w:header="0" w:footer="0" w:gutter="0"/>
      <w:cols w:space="708" w:equalWidth="0">
        <w:col w:w="102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8FC049AA"/>
    <w:lvl w:ilvl="0" w:tplc="54E2CBD2">
      <w:start w:val="1"/>
      <w:numFmt w:val="bullet"/>
      <w:lvlText w:val="-"/>
      <w:lvlJc w:val="left"/>
    </w:lvl>
    <w:lvl w:ilvl="1" w:tplc="B7F23136">
      <w:numFmt w:val="decimal"/>
      <w:lvlText w:val=""/>
      <w:lvlJc w:val="left"/>
    </w:lvl>
    <w:lvl w:ilvl="2" w:tplc="2ADCA62A">
      <w:numFmt w:val="decimal"/>
      <w:lvlText w:val=""/>
      <w:lvlJc w:val="left"/>
    </w:lvl>
    <w:lvl w:ilvl="3" w:tplc="37F663CA">
      <w:numFmt w:val="decimal"/>
      <w:lvlText w:val=""/>
      <w:lvlJc w:val="left"/>
    </w:lvl>
    <w:lvl w:ilvl="4" w:tplc="BCAEE99C">
      <w:numFmt w:val="decimal"/>
      <w:lvlText w:val=""/>
      <w:lvlJc w:val="left"/>
    </w:lvl>
    <w:lvl w:ilvl="5" w:tplc="A0929F26">
      <w:numFmt w:val="decimal"/>
      <w:lvlText w:val=""/>
      <w:lvlJc w:val="left"/>
    </w:lvl>
    <w:lvl w:ilvl="6" w:tplc="2632B52E">
      <w:numFmt w:val="decimal"/>
      <w:lvlText w:val=""/>
      <w:lvlJc w:val="left"/>
    </w:lvl>
    <w:lvl w:ilvl="7" w:tplc="34D42F96">
      <w:numFmt w:val="decimal"/>
      <w:lvlText w:val=""/>
      <w:lvlJc w:val="left"/>
    </w:lvl>
    <w:lvl w:ilvl="8" w:tplc="D1F069F2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745A3ECC"/>
    <w:lvl w:ilvl="0" w:tplc="93A25538">
      <w:start w:val="4"/>
      <w:numFmt w:val="lowerLetter"/>
      <w:lvlText w:val="%1)"/>
      <w:lvlJc w:val="left"/>
    </w:lvl>
    <w:lvl w:ilvl="1" w:tplc="BE3800C6">
      <w:numFmt w:val="decimal"/>
      <w:lvlText w:val=""/>
      <w:lvlJc w:val="left"/>
    </w:lvl>
    <w:lvl w:ilvl="2" w:tplc="EAC4F8A8">
      <w:numFmt w:val="decimal"/>
      <w:lvlText w:val=""/>
      <w:lvlJc w:val="left"/>
    </w:lvl>
    <w:lvl w:ilvl="3" w:tplc="DBCCA34C">
      <w:numFmt w:val="decimal"/>
      <w:lvlText w:val=""/>
      <w:lvlJc w:val="left"/>
    </w:lvl>
    <w:lvl w:ilvl="4" w:tplc="3CFE3594">
      <w:numFmt w:val="decimal"/>
      <w:lvlText w:val=""/>
      <w:lvlJc w:val="left"/>
    </w:lvl>
    <w:lvl w:ilvl="5" w:tplc="E0608428">
      <w:numFmt w:val="decimal"/>
      <w:lvlText w:val=""/>
      <w:lvlJc w:val="left"/>
    </w:lvl>
    <w:lvl w:ilvl="6" w:tplc="54CA3078">
      <w:numFmt w:val="decimal"/>
      <w:lvlText w:val=""/>
      <w:lvlJc w:val="left"/>
    </w:lvl>
    <w:lvl w:ilvl="7" w:tplc="D6449CD4">
      <w:numFmt w:val="decimal"/>
      <w:lvlText w:val=""/>
      <w:lvlJc w:val="left"/>
    </w:lvl>
    <w:lvl w:ilvl="8" w:tplc="EF400BB0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E3EC7510"/>
    <w:lvl w:ilvl="0" w:tplc="5EA8C4A6">
      <w:start w:val="1"/>
      <w:numFmt w:val="bullet"/>
      <w:lvlText w:val="-"/>
      <w:lvlJc w:val="left"/>
    </w:lvl>
    <w:lvl w:ilvl="1" w:tplc="BF443B16">
      <w:start w:val="5"/>
      <w:numFmt w:val="lowerRoman"/>
      <w:lvlText w:val="%2"/>
      <w:lvlJc w:val="left"/>
    </w:lvl>
    <w:lvl w:ilvl="2" w:tplc="34564D5C">
      <w:numFmt w:val="decimal"/>
      <w:lvlText w:val=""/>
      <w:lvlJc w:val="left"/>
    </w:lvl>
    <w:lvl w:ilvl="3" w:tplc="525E4230">
      <w:numFmt w:val="decimal"/>
      <w:lvlText w:val=""/>
      <w:lvlJc w:val="left"/>
    </w:lvl>
    <w:lvl w:ilvl="4" w:tplc="8264CC68">
      <w:numFmt w:val="decimal"/>
      <w:lvlText w:val=""/>
      <w:lvlJc w:val="left"/>
    </w:lvl>
    <w:lvl w:ilvl="5" w:tplc="3F9A7304">
      <w:numFmt w:val="decimal"/>
      <w:lvlText w:val=""/>
      <w:lvlJc w:val="left"/>
    </w:lvl>
    <w:lvl w:ilvl="6" w:tplc="D4F41CD6">
      <w:numFmt w:val="decimal"/>
      <w:lvlText w:val=""/>
      <w:lvlJc w:val="left"/>
    </w:lvl>
    <w:lvl w:ilvl="7" w:tplc="865E4BBE">
      <w:numFmt w:val="decimal"/>
      <w:lvlText w:val=""/>
      <w:lvlJc w:val="left"/>
    </w:lvl>
    <w:lvl w:ilvl="8" w:tplc="49C6B908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E4BA4760"/>
    <w:lvl w:ilvl="0" w:tplc="87DC701C">
      <w:start w:val="2"/>
      <w:numFmt w:val="lowerLetter"/>
      <w:lvlText w:val="%1)"/>
      <w:lvlJc w:val="left"/>
    </w:lvl>
    <w:lvl w:ilvl="1" w:tplc="5B901182">
      <w:start w:val="1"/>
      <w:numFmt w:val="bullet"/>
      <w:lvlText w:val="-"/>
      <w:lvlJc w:val="left"/>
    </w:lvl>
    <w:lvl w:ilvl="2" w:tplc="E640B496">
      <w:numFmt w:val="decimal"/>
      <w:lvlText w:val=""/>
      <w:lvlJc w:val="left"/>
    </w:lvl>
    <w:lvl w:ilvl="3" w:tplc="5D2E2030">
      <w:numFmt w:val="decimal"/>
      <w:lvlText w:val=""/>
      <w:lvlJc w:val="left"/>
    </w:lvl>
    <w:lvl w:ilvl="4" w:tplc="56B850F6">
      <w:numFmt w:val="decimal"/>
      <w:lvlText w:val=""/>
      <w:lvlJc w:val="left"/>
    </w:lvl>
    <w:lvl w:ilvl="5" w:tplc="5BE00786">
      <w:numFmt w:val="decimal"/>
      <w:lvlText w:val=""/>
      <w:lvlJc w:val="left"/>
    </w:lvl>
    <w:lvl w:ilvl="6" w:tplc="EE9443D6">
      <w:numFmt w:val="decimal"/>
      <w:lvlText w:val=""/>
      <w:lvlJc w:val="left"/>
    </w:lvl>
    <w:lvl w:ilvl="7" w:tplc="F8961A92">
      <w:numFmt w:val="decimal"/>
      <w:lvlText w:val=""/>
      <w:lvlJc w:val="left"/>
    </w:lvl>
    <w:lvl w:ilvl="8" w:tplc="9D20514E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ED2442A6"/>
    <w:lvl w:ilvl="0" w:tplc="29B4515C">
      <w:start w:val="2"/>
      <w:numFmt w:val="lowerLetter"/>
      <w:lvlText w:val="%1)"/>
      <w:lvlJc w:val="left"/>
    </w:lvl>
    <w:lvl w:ilvl="1" w:tplc="B6FEA448">
      <w:start w:val="1"/>
      <w:numFmt w:val="bullet"/>
      <w:lvlText w:val="-"/>
      <w:lvlJc w:val="left"/>
    </w:lvl>
    <w:lvl w:ilvl="2" w:tplc="F33617E8">
      <w:numFmt w:val="decimal"/>
      <w:lvlText w:val=""/>
      <w:lvlJc w:val="left"/>
    </w:lvl>
    <w:lvl w:ilvl="3" w:tplc="9B8CB93C">
      <w:numFmt w:val="decimal"/>
      <w:lvlText w:val=""/>
      <w:lvlJc w:val="left"/>
    </w:lvl>
    <w:lvl w:ilvl="4" w:tplc="E8467656">
      <w:numFmt w:val="decimal"/>
      <w:lvlText w:val=""/>
      <w:lvlJc w:val="left"/>
    </w:lvl>
    <w:lvl w:ilvl="5" w:tplc="1B9A52B8">
      <w:numFmt w:val="decimal"/>
      <w:lvlText w:val=""/>
      <w:lvlJc w:val="left"/>
    </w:lvl>
    <w:lvl w:ilvl="6" w:tplc="DD72F584">
      <w:numFmt w:val="decimal"/>
      <w:lvlText w:val=""/>
      <w:lvlJc w:val="left"/>
    </w:lvl>
    <w:lvl w:ilvl="7" w:tplc="52A05272">
      <w:numFmt w:val="decimal"/>
      <w:lvlText w:val=""/>
      <w:lvlJc w:val="left"/>
    </w:lvl>
    <w:lvl w:ilvl="8" w:tplc="6E40F754">
      <w:numFmt w:val="decimal"/>
      <w:lvlText w:val=""/>
      <w:lvlJc w:val="left"/>
    </w:lvl>
  </w:abstractNum>
  <w:abstractNum w:abstractNumId="5" w15:restartNumberingAfterBreak="0">
    <w:nsid w:val="206F7BA7"/>
    <w:multiLevelType w:val="hybridMultilevel"/>
    <w:tmpl w:val="379015A8"/>
    <w:lvl w:ilvl="0" w:tplc="2F7E5C06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FB"/>
    <w:rsid w:val="000721AC"/>
    <w:rsid w:val="000C4928"/>
    <w:rsid w:val="001470AB"/>
    <w:rsid w:val="0054217A"/>
    <w:rsid w:val="00553DD8"/>
    <w:rsid w:val="005913DC"/>
    <w:rsid w:val="005E5DF5"/>
    <w:rsid w:val="006B7A14"/>
    <w:rsid w:val="008263ED"/>
    <w:rsid w:val="008539A9"/>
    <w:rsid w:val="008A70F2"/>
    <w:rsid w:val="009474D8"/>
    <w:rsid w:val="00B07232"/>
    <w:rsid w:val="00B915C5"/>
    <w:rsid w:val="00B965FB"/>
    <w:rsid w:val="00D55E98"/>
    <w:rsid w:val="00D75EC6"/>
    <w:rsid w:val="00E51DED"/>
    <w:rsid w:val="00F8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53AB1-BF74-4FE9-A159-AB412E6F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91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962</Words>
  <Characters>5485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Eva Smitkova</cp:lastModifiedBy>
  <cp:revision>3</cp:revision>
  <dcterms:created xsi:type="dcterms:W3CDTF">2021-06-03T14:31:00Z</dcterms:created>
  <dcterms:modified xsi:type="dcterms:W3CDTF">2021-06-04T06:55:00Z</dcterms:modified>
</cp:coreProperties>
</file>